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8665A" w14:textId="5F0B09C4" w:rsidR="007F0645" w:rsidRDefault="008707C4" w:rsidP="008707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Table S1:</w:t>
      </w:r>
      <w:r w:rsidR="00000000">
        <w:rPr>
          <w:rFonts w:ascii="Times New Roman" w:hAnsi="Times New Roman" w:cs="Times New Roman"/>
          <w:b/>
          <w:bCs/>
        </w:rPr>
        <w:t xml:space="preserve"> </w:t>
      </w:r>
      <w:r w:rsidR="00000000">
        <w:rPr>
          <w:rFonts w:ascii="Times New Roman" w:hAnsi="Times New Roman" w:cs="Times New Roman"/>
        </w:rPr>
        <w:t xml:space="preserve">Collection of young leaf samples from </w:t>
      </w:r>
      <w:r w:rsidR="00000000">
        <w:rPr>
          <w:rFonts w:ascii="Times New Roman" w:hAnsi="Times New Roman" w:cs="Times New Roman"/>
          <w:sz w:val="22"/>
          <w:szCs w:val="22"/>
        </w:rPr>
        <w:t xml:space="preserve">wild and cultivated </w:t>
      </w:r>
      <w:r w:rsidR="00000000">
        <w:rPr>
          <w:rFonts w:ascii="Times New Roman" w:hAnsi="Times New Roman" w:cs="Times New Roman"/>
          <w:i/>
          <w:iCs/>
          <w:sz w:val="22"/>
          <w:szCs w:val="22"/>
        </w:rPr>
        <w:t xml:space="preserve">T. </w:t>
      </w:r>
      <w:proofErr w:type="spellStart"/>
      <w:r w:rsidR="00000000">
        <w:rPr>
          <w:rFonts w:ascii="Times New Roman" w:hAnsi="Times New Roman" w:cs="Times New Roman"/>
          <w:i/>
          <w:iCs/>
          <w:sz w:val="22"/>
          <w:szCs w:val="22"/>
        </w:rPr>
        <w:t>cuspidata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tbl>
      <w:tblPr>
        <w:tblW w:w="936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7"/>
        <w:gridCol w:w="1803"/>
        <w:gridCol w:w="1318"/>
        <w:gridCol w:w="1084"/>
        <w:gridCol w:w="946"/>
        <w:gridCol w:w="1374"/>
        <w:gridCol w:w="1598"/>
      </w:tblGrid>
      <w:tr w:rsidR="007F0645" w:rsidRPr="008707C4" w14:paraId="442D8130" w14:textId="77777777" w:rsidTr="0027056C">
        <w:tc>
          <w:tcPr>
            <w:tcW w:w="1126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B4C2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Identifier</w:t>
            </w:r>
          </w:p>
        </w:tc>
        <w:tc>
          <w:tcPr>
            <w:tcW w:w="164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67779" w14:textId="5A0C2A24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 xml:space="preserve">Admin. </w:t>
            </w:r>
            <w:r w:rsidR="008707C4"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Region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232F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 xml:space="preserve">Altitude </w:t>
            </w:r>
            <w:proofErr w:type="gramStart"/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(</w:t>
            </w:r>
            <w:proofErr w:type="spellStart"/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m.</w:t>
            </w:r>
            <w:proofErr w:type="gramEnd"/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a.s.l</w:t>
            </w:r>
            <w:proofErr w:type="spellEnd"/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.)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A6860" w14:textId="79AE40E4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 xml:space="preserve">Tree </w:t>
            </w:r>
            <w:r w:rsidR="008707C4"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 xml:space="preserve">Height </w:t>
            </w:r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(m)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316B3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bCs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b/>
                <w:bCs/>
                <w:sz w:val="20"/>
                <w:szCs w:val="22"/>
              </w:rPr>
              <w:t>DBH (cm)</w:t>
            </w:r>
          </w:p>
        </w:tc>
        <w:tc>
          <w:tcPr>
            <w:tcW w:w="2706" w:type="dxa"/>
            <w:gridSpan w:val="2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3A9330" w14:textId="03B28383" w:rsidR="007F0645" w:rsidRPr="008707C4" w:rsidRDefault="008707C4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bCs/>
                <w:sz w:val="20"/>
                <w:szCs w:val="22"/>
                <w:highlight w:val="red"/>
              </w:rPr>
            </w:pPr>
            <w:r w:rsidRPr="008707C4">
              <w:rPr>
                <w:rFonts w:ascii="Minion Pro" w:eastAsia="宋体" w:hAnsi="Minion Pro" w:cs="Times New Roman"/>
                <w:b/>
                <w:bCs/>
                <w:sz w:val="20"/>
                <w:szCs w:val="22"/>
              </w:rPr>
              <w:t>Location</w:t>
            </w:r>
          </w:p>
        </w:tc>
      </w:tr>
      <w:tr w:rsidR="007F0645" w:rsidRPr="008707C4" w14:paraId="6AF12CD8" w14:textId="77777777" w:rsidTr="002A5F8E">
        <w:tc>
          <w:tcPr>
            <w:tcW w:w="1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1E5BB" w14:textId="77777777" w:rsidR="007F0645" w:rsidRPr="008707C4" w:rsidRDefault="007F0645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701DD" w14:textId="77777777" w:rsidR="007F0645" w:rsidRPr="008707C4" w:rsidRDefault="007F0645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F4756" w14:textId="77777777" w:rsidR="007F0645" w:rsidRPr="008707C4" w:rsidRDefault="007F0645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09618" w14:textId="77777777" w:rsidR="007F0645" w:rsidRPr="008707C4" w:rsidRDefault="007F0645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AE71E" w14:textId="77777777" w:rsidR="007F0645" w:rsidRPr="008707C4" w:rsidRDefault="007F0645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13FEA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  <w:highlight w:val="red"/>
              </w:rPr>
            </w:pPr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Latitude (N)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DE1ED" w14:textId="282A4BE4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sz w:val="20"/>
                <w:szCs w:val="22"/>
                <w:highlight w:val="red"/>
              </w:rPr>
            </w:pPr>
            <w:r w:rsidRPr="008707C4">
              <w:rPr>
                <w:rFonts w:ascii="Minion Pro" w:eastAsia="宋体" w:hAnsi="Minion Pro" w:cs="Times New Roman"/>
                <w:b/>
                <w:sz w:val="20"/>
                <w:szCs w:val="22"/>
              </w:rPr>
              <w:t>Longitude (E)</w:t>
            </w:r>
          </w:p>
        </w:tc>
      </w:tr>
      <w:tr w:rsidR="007F0645" w:rsidRPr="008707C4" w14:paraId="45A67F33" w14:textId="77777777" w:rsidTr="002A5F8E"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1523BF3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W1</w:t>
            </w:r>
          </w:p>
        </w:tc>
        <w:tc>
          <w:tcPr>
            <w:tcW w:w="16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D2BF42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Helvetica" w:hAnsi="Minion Pro" w:cs="Times New Roman"/>
                <w:color w:val="000000"/>
                <w:sz w:val="20"/>
                <w:szCs w:val="22"/>
              </w:rPr>
              <w:t>Dandong, Liaoning Province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200029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113</w:t>
            </w:r>
          </w:p>
        </w:tc>
        <w:tc>
          <w:tcPr>
            <w:tcW w:w="98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7157B7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4.2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EEC0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10.8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1E5F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39°44′53″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0269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333333"/>
                <w:sz w:val="20"/>
                <w:szCs w:val="22"/>
                <w:shd w:val="clear" w:color="auto" w:fill="FFFFFF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123°23′22″</w:t>
            </w:r>
          </w:p>
        </w:tc>
      </w:tr>
      <w:tr w:rsidR="007F0645" w:rsidRPr="008707C4" w14:paraId="6749D6C6" w14:textId="77777777" w:rsidTr="008707C4"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6A8E6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W2</w:t>
            </w: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E6258A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Wang Qing, Jilin Province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3AFF56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879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628F22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5.7</w:t>
            </w:r>
          </w:p>
        </w:tc>
        <w:tc>
          <w:tcPr>
            <w:tcW w:w="8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B1A062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15.4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B2192" w14:textId="319B33E4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43°47′44″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3AD3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333333"/>
                <w:sz w:val="20"/>
                <w:szCs w:val="22"/>
                <w:shd w:val="clear" w:color="auto" w:fill="FFFFFF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129°48′33″ </w:t>
            </w:r>
          </w:p>
        </w:tc>
      </w:tr>
      <w:tr w:rsidR="007F0645" w:rsidRPr="008707C4" w14:paraId="151593CC" w14:textId="77777777" w:rsidTr="008707C4"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C14D10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C1</w:t>
            </w: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B61E34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hAnsi="Minion Pro" w:cs="Times New Roman"/>
                <w:sz w:val="20"/>
                <w:szCs w:val="22"/>
              </w:rPr>
              <w:t>Dandong, Liaoning Province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B17DF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169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3B4F97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shrub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9374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4.9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AC6D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40°16′26″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BA995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124°24′42″</w:t>
            </w:r>
          </w:p>
        </w:tc>
      </w:tr>
      <w:tr w:rsidR="007F0645" w:rsidRPr="008707C4" w14:paraId="5D05F478" w14:textId="77777777" w:rsidTr="008707C4"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D3BB5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C2</w:t>
            </w: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C70EB1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Dandong, Liaoning Province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8B492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372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83625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shrub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60B4B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12.7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2B0A4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40°43′39″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F78B1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125°34′20″</w:t>
            </w:r>
          </w:p>
        </w:tc>
      </w:tr>
      <w:tr w:rsidR="007F0645" w:rsidRPr="008707C4" w14:paraId="636A6538" w14:textId="77777777" w:rsidTr="008707C4">
        <w:tc>
          <w:tcPr>
            <w:tcW w:w="112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48807516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C3</w:t>
            </w:r>
          </w:p>
        </w:tc>
        <w:tc>
          <w:tcPr>
            <w:tcW w:w="1642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318B080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Baishan, Jilin Province</w:t>
            </w:r>
          </w:p>
        </w:tc>
        <w:tc>
          <w:tcPr>
            <w:tcW w:w="120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537DA5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326</w:t>
            </w:r>
          </w:p>
        </w:tc>
        <w:tc>
          <w:tcPr>
            <w:tcW w:w="98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AC12703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3.5</w:t>
            </w:r>
          </w:p>
        </w:tc>
        <w:tc>
          <w:tcPr>
            <w:tcW w:w="861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4F0266EB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8.6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A33347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43°06′36″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9718790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sz w:val="20"/>
                <w:szCs w:val="22"/>
              </w:rPr>
            </w:pPr>
            <w:r w:rsidRPr="008707C4">
              <w:rPr>
                <w:rFonts w:ascii="Minion Pro" w:eastAsia="宋体" w:hAnsi="Minion Pro" w:cs="Times New Roman"/>
                <w:sz w:val="20"/>
                <w:szCs w:val="22"/>
              </w:rPr>
              <w:t>126°30′06″</w:t>
            </w:r>
          </w:p>
        </w:tc>
      </w:tr>
    </w:tbl>
    <w:p w14:paraId="2842579D" w14:textId="77777777" w:rsidR="008707C4" w:rsidRDefault="008707C4">
      <w:pPr>
        <w:jc w:val="left"/>
        <w:rPr>
          <w:rFonts w:ascii="Times New Roman" w:hAnsi="Times New Roman" w:cs="Times New Roman"/>
          <w:b/>
          <w:bCs/>
        </w:rPr>
      </w:pPr>
    </w:p>
    <w:p w14:paraId="11CE7095" w14:textId="6557AF3A" w:rsidR="007F0645" w:rsidRDefault="00000000" w:rsidP="008707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 xml:space="preserve">Table </w:t>
      </w:r>
      <w:r w:rsidR="008707C4">
        <w:rPr>
          <w:rFonts w:ascii="Times New Roman" w:hAnsi="Times New Roman" w:cs="Times New Roman" w:hint="eastAsia"/>
          <w:b/>
          <w:bCs/>
        </w:rPr>
        <w:t>S</w:t>
      </w:r>
      <w:r>
        <w:rPr>
          <w:rFonts w:ascii="Times New Roman" w:hAnsi="Times New Roman" w:cs="Times New Roman" w:hint="eastAsia"/>
          <w:b/>
          <w:bCs/>
        </w:rPr>
        <w:t>2</w:t>
      </w:r>
      <w:r w:rsidR="008707C4">
        <w:rPr>
          <w:rFonts w:ascii="Times New Roman" w:hAnsi="Times New Roman" w:cs="Times New Roman" w:hint="eastAsia"/>
          <w:b/>
          <w:bCs/>
        </w:rPr>
        <w:t>:</w:t>
      </w:r>
      <w:r>
        <w:rPr>
          <w:rFonts w:ascii="Times New Roman" w:hAnsi="Times New Roman" w:cs="Times New Roman" w:hint="eastAsia"/>
        </w:rPr>
        <w:t xml:space="preserve"> The primer of defense-related genes for PCR amplification in </w:t>
      </w:r>
      <w:r>
        <w:rPr>
          <w:rFonts w:ascii="Times New Roman" w:hAnsi="Times New Roman" w:cs="Times New Roman" w:hint="eastAsia"/>
          <w:i/>
          <w:iCs/>
        </w:rPr>
        <w:t xml:space="preserve">T. </w:t>
      </w:r>
      <w:r w:rsidR="008707C4">
        <w:rPr>
          <w:rFonts w:ascii="Times New Roman" w:hAnsi="Times New Roman" w:cs="Times New Roman"/>
          <w:i/>
          <w:iCs/>
        </w:rPr>
        <w:t>cuspidate</w:t>
      </w:r>
      <w:r w:rsidR="008707C4" w:rsidRPr="008707C4">
        <w:rPr>
          <w:rFonts w:ascii="Times New Roman" w:hAnsi="Times New Roman" w:cs="Times New Roman" w:hint="eastAsia"/>
        </w:rPr>
        <w:t>.</w:t>
      </w:r>
    </w:p>
    <w:tbl>
      <w:tblPr>
        <w:tblStyle w:val="a7"/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  <w:gridCol w:w="2549"/>
        <w:gridCol w:w="4087"/>
        <w:gridCol w:w="1725"/>
      </w:tblGrid>
      <w:tr w:rsidR="007F0645" w:rsidRPr="008707C4" w14:paraId="31457910" w14:textId="77777777" w:rsidTr="007F14FF"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C1BB6D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bCs/>
                <w:sz w:val="20"/>
              </w:rPr>
            </w:pPr>
            <w:r w:rsidRPr="008707C4">
              <w:rPr>
                <w:rFonts w:ascii="Minion Pro" w:hAnsi="Minion Pro" w:cs="Times New Roman"/>
                <w:b/>
                <w:bCs/>
                <w:sz w:val="20"/>
              </w:rPr>
              <w:t>Gene</w:t>
            </w:r>
          </w:p>
        </w:tc>
        <w:tc>
          <w:tcPr>
            <w:tcW w:w="23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02063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bCs/>
                <w:sz w:val="20"/>
              </w:rPr>
            </w:pPr>
            <w:r w:rsidRPr="008707C4">
              <w:rPr>
                <w:rFonts w:ascii="Minion Pro" w:hAnsi="Minion Pro" w:cs="Times New Roman"/>
                <w:b/>
                <w:bCs/>
                <w:sz w:val="20"/>
              </w:rPr>
              <w:t>Description</w:t>
            </w:r>
          </w:p>
        </w:tc>
        <w:tc>
          <w:tcPr>
            <w:tcW w:w="378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273D00" w14:textId="15B37D66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 w:hint="eastAsia"/>
                <w:b/>
                <w:bCs/>
                <w:sz w:val="20"/>
              </w:rPr>
            </w:pPr>
            <w:r w:rsidRPr="008707C4">
              <w:rPr>
                <w:rFonts w:ascii="Minion Pro" w:hAnsi="Minion Pro" w:cs="Times New Roman"/>
                <w:b/>
                <w:bCs/>
                <w:sz w:val="20"/>
              </w:rPr>
              <w:t xml:space="preserve">Primer </w:t>
            </w:r>
            <w:r w:rsidR="008707C4" w:rsidRPr="008707C4">
              <w:rPr>
                <w:rFonts w:ascii="Minion Pro" w:hAnsi="Minion Pro" w:cs="Times New Roman"/>
                <w:b/>
                <w:bCs/>
                <w:sz w:val="20"/>
              </w:rPr>
              <w:t xml:space="preserve">Sequence </w:t>
            </w:r>
            <w:r w:rsidRPr="008707C4">
              <w:rPr>
                <w:rFonts w:ascii="Minion Pro" w:hAnsi="Minion Pro" w:cs="Times New Roman"/>
                <w:b/>
                <w:bCs/>
                <w:sz w:val="20"/>
              </w:rPr>
              <w:t>(5′–3′</w:t>
            </w:r>
            <w:r w:rsidR="007F14FF">
              <w:rPr>
                <w:rFonts w:ascii="Minion Pro" w:hAnsi="Minion Pro" w:cs="Times New Roman" w:hint="eastAsia"/>
                <w:b/>
                <w:bCs/>
                <w:sz w:val="20"/>
              </w:rPr>
              <w:t>)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BE3F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bCs/>
                <w:sz w:val="20"/>
              </w:rPr>
            </w:pPr>
            <w:r w:rsidRPr="008707C4">
              <w:rPr>
                <w:rFonts w:ascii="Minion Pro" w:hAnsi="Minion Pro" w:cs="Times New Roman"/>
                <w:b/>
                <w:bCs/>
                <w:sz w:val="20"/>
              </w:rPr>
              <w:t>Gene ID</w:t>
            </w:r>
          </w:p>
        </w:tc>
      </w:tr>
      <w:tr w:rsidR="007F0645" w:rsidRPr="008707C4" w14:paraId="2AE8DF9E" w14:textId="77777777" w:rsidTr="007F14FF"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217BA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DXR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52E42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 xml:space="preserve">1-deoxy-D-xylulose 5-phosphate </w:t>
            </w:r>
            <w:proofErr w:type="spellStart"/>
            <w:r w:rsidRPr="008707C4">
              <w:rPr>
                <w:rFonts w:ascii="Minion Pro" w:hAnsi="Minion Pro" w:cs="Times New Roman"/>
                <w:sz w:val="20"/>
              </w:rPr>
              <w:t>reductoisomerase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C8533" w14:textId="60BAA38A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/>
                <w:b/>
                <w:bCs/>
                <w:sz w:val="20"/>
              </w:rPr>
              <w:t>F</w:t>
            </w:r>
            <w:r w:rsidR="008707C4">
              <w:rPr>
                <w:rFonts w:ascii="Minion Pro" w:hAnsi="Minion Pro" w:cs="Times New Roman" w:hint="eastAsia"/>
                <w:b/>
                <w:bCs/>
                <w:sz w:val="20"/>
              </w:rPr>
              <w:t>:</w:t>
            </w:r>
            <w:r w:rsidRPr="008707C4">
              <w:rPr>
                <w:rFonts w:ascii="Minion Pro" w:hAnsi="Minion Pro" w:cs="Times New Roman"/>
                <w:sz w:val="20"/>
              </w:rPr>
              <w:t>TTTCTGTCCGCAATGAGTC</w:t>
            </w:r>
            <w:proofErr w:type="gramEnd"/>
          </w:p>
          <w:p w14:paraId="662ECCAB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ATGTTGGGCAACCTCTACC</w:t>
            </w:r>
            <w:proofErr w:type="gramEnd"/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E9F7A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KI387_002164</w:t>
            </w:r>
          </w:p>
        </w:tc>
      </w:tr>
      <w:tr w:rsidR="007F0645" w:rsidRPr="008707C4" w14:paraId="3D130DB1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77123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GGPPS1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C232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Heterodimeric geranylgeranyl pyrophosphate synthase large subunit 1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D8E65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GCAGTGGGACTCGCTTACC</w:t>
            </w:r>
            <w:proofErr w:type="gramEnd"/>
          </w:p>
          <w:p w14:paraId="03CCA2D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GGCTTTGTCGGCCCTTTT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0E0F5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KI387_010989</w:t>
            </w:r>
          </w:p>
        </w:tc>
      </w:tr>
      <w:tr w:rsidR="007F0645" w:rsidRPr="008707C4" w14:paraId="60C908CE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10E5A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 w:hint="eastAsia"/>
                <w:i/>
                <w:iCs/>
                <w:sz w:val="20"/>
              </w:rPr>
              <w:t>TS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05E60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spellStart"/>
            <w:r w:rsidRPr="008707C4">
              <w:rPr>
                <w:rFonts w:ascii="Minion Pro" w:hAnsi="Minion Pro" w:cs="Times New Roman"/>
                <w:sz w:val="20"/>
              </w:rPr>
              <w:t>Taxadiene</w:t>
            </w:r>
            <w:proofErr w:type="spellEnd"/>
            <w:r w:rsidRPr="008707C4">
              <w:rPr>
                <w:rFonts w:ascii="Minion Pro" w:hAnsi="Minion Pro" w:cs="Times New Roman"/>
                <w:sz w:val="20"/>
              </w:rPr>
              <w:t xml:space="preserve"> synthase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14DE2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/>
                <w:b/>
                <w:bCs/>
                <w:sz w:val="20"/>
              </w:rPr>
              <w:t>F</w:t>
            </w:r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:</w:t>
            </w:r>
            <w:r w:rsidRPr="008707C4">
              <w:rPr>
                <w:rFonts w:ascii="Minion Pro" w:hAnsi="Minion Pro" w:cs="Times New Roman"/>
                <w:sz w:val="20"/>
              </w:rPr>
              <w:t>ATTATCATGGCGATCTGTGG</w:t>
            </w:r>
            <w:proofErr w:type="gramEnd"/>
          </w:p>
          <w:p w14:paraId="5A95BC1B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GGACTTATTGCTCCCTCTTC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E2BF4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KI387_028801</w:t>
            </w:r>
          </w:p>
        </w:tc>
      </w:tr>
      <w:tr w:rsidR="007F0645" w:rsidRPr="008707C4" w14:paraId="145523DF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3A686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T5αH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8146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spellStart"/>
            <w:r w:rsidRPr="008707C4">
              <w:rPr>
                <w:rFonts w:ascii="Minion Pro" w:hAnsi="Minion Pro" w:cs="Times New Roman"/>
                <w:sz w:val="20"/>
              </w:rPr>
              <w:t>Taxadiene</w:t>
            </w:r>
            <w:proofErr w:type="spellEnd"/>
            <w:r w:rsidRPr="008707C4">
              <w:rPr>
                <w:rFonts w:ascii="Minion Pro" w:hAnsi="Minion Pro" w:cs="Times New Roman"/>
                <w:sz w:val="20"/>
              </w:rPr>
              <w:t xml:space="preserve"> 5-alpha hydroxylase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4B12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GCCTCCTATGACACCACC</w:t>
            </w:r>
            <w:proofErr w:type="gramEnd"/>
          </w:p>
          <w:p w14:paraId="407DF6C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TGATTTCTTCGCCCTCCT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1B5B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KI387_028803</w:t>
            </w:r>
          </w:p>
        </w:tc>
      </w:tr>
      <w:tr w:rsidR="007F0645" w:rsidRPr="008707C4" w14:paraId="118F5A1B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DD531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TAT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86E9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spellStart"/>
            <w:r w:rsidRPr="008707C4">
              <w:rPr>
                <w:rFonts w:ascii="Minion Pro" w:hAnsi="Minion Pro" w:cs="Times New Roman"/>
                <w:sz w:val="20"/>
              </w:rPr>
              <w:t>Taxane</w:t>
            </w:r>
            <w:proofErr w:type="spellEnd"/>
            <w:r w:rsidRPr="008707C4">
              <w:rPr>
                <w:rFonts w:ascii="Minion Pro" w:hAnsi="Minion Pro" w:cs="Times New Roman"/>
                <w:sz w:val="20"/>
              </w:rPr>
              <w:t xml:space="preserve"> 13-alpha-hydroxylase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CD74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ATAGGTATCTTCGTGCTGG</w:t>
            </w:r>
            <w:proofErr w:type="gramEnd"/>
          </w:p>
          <w:p w14:paraId="1051CE3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ATCATCGTGCTTGTCTGC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18746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KI387_028565</w:t>
            </w:r>
          </w:p>
        </w:tc>
      </w:tr>
      <w:tr w:rsidR="007F0645" w:rsidRPr="008707C4" w14:paraId="04AEE027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070D6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T10βH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58FF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spellStart"/>
            <w:r w:rsidRPr="008707C4">
              <w:rPr>
                <w:rFonts w:ascii="Minion Pro" w:hAnsi="Minion Pro" w:cs="Times New Roman"/>
                <w:sz w:val="20"/>
              </w:rPr>
              <w:t>Taxane</w:t>
            </w:r>
            <w:proofErr w:type="spellEnd"/>
            <w:r w:rsidRPr="008707C4">
              <w:rPr>
                <w:rFonts w:ascii="Minion Pro" w:hAnsi="Minion Pro" w:cs="Times New Roman"/>
                <w:sz w:val="20"/>
              </w:rPr>
              <w:t xml:space="preserve"> 10β-Hydroxylase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0E8DA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GTTGGCATTATTCTTGTG</w:t>
            </w:r>
            <w:proofErr w:type="gramEnd"/>
          </w:p>
          <w:p w14:paraId="379198C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GAACTGAATCGTCTCCC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A01E14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KI387_010542</w:t>
            </w:r>
          </w:p>
        </w:tc>
      </w:tr>
      <w:tr w:rsidR="007F0645" w:rsidRPr="008707C4" w14:paraId="6FEFA5FF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9E773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DBAT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0F1D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10-Deacetylbaccatin III-10-O-Acetyltransferase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B388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GGGAGCTTGAATTGGAGTGC</w:t>
            </w:r>
            <w:proofErr w:type="gramEnd"/>
          </w:p>
          <w:p w14:paraId="25D5327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AGGAGCCGTTGAAATGATGG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DF6BD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KI387_030977</w:t>
            </w:r>
          </w:p>
        </w:tc>
      </w:tr>
      <w:tr w:rsidR="007F0645" w:rsidRPr="008707C4" w14:paraId="15F93866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012D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DBTNBT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0590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3'-N-debenzoyl-2'-deoxytaxol N-</w:t>
            </w:r>
            <w:proofErr w:type="spellStart"/>
            <w:r w:rsidRPr="008707C4">
              <w:rPr>
                <w:rFonts w:ascii="Minion Pro" w:hAnsi="Minion Pro" w:cs="Times New Roman"/>
                <w:sz w:val="20"/>
              </w:rPr>
              <w:t>benzoyltransferase</w:t>
            </w:r>
            <w:proofErr w:type="spellEnd"/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59E2A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TCTTGGGAGATTTGGATG</w:t>
            </w:r>
            <w:proofErr w:type="gramEnd"/>
          </w:p>
          <w:p w14:paraId="6911AC10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CTGAGGTTGGTAATAGCG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2D6D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KI387_025350</w:t>
            </w:r>
          </w:p>
        </w:tc>
      </w:tr>
      <w:tr w:rsidR="007F0645" w:rsidRPr="008707C4" w14:paraId="11CC4E32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5544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2αHB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0177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2-alpha-hydroxytaxane 2-O-benzoyltransferase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15FB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GGCGGCTCAGAAATAAG</w:t>
            </w:r>
            <w:proofErr w:type="gramEnd"/>
          </w:p>
          <w:p w14:paraId="6B3531A5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GTGGTCATCCAAATCCC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E839F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KI387_003225</w:t>
            </w:r>
          </w:p>
        </w:tc>
      </w:tr>
      <w:tr w:rsidR="007F0645" w:rsidRPr="008707C4" w14:paraId="7D919BD9" w14:textId="77777777" w:rsidTr="008707C4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08923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i/>
                <w:iCs/>
                <w:sz w:val="20"/>
              </w:rPr>
              <w:t>T7βH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9EDA9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spellStart"/>
            <w:r w:rsidRPr="008707C4">
              <w:rPr>
                <w:rFonts w:ascii="Minion Pro" w:hAnsi="Minion Pro" w:cs="Times New Roman"/>
                <w:sz w:val="20"/>
              </w:rPr>
              <w:t>Taxane</w:t>
            </w:r>
            <w:proofErr w:type="spellEnd"/>
            <w:r w:rsidRPr="008707C4">
              <w:rPr>
                <w:rFonts w:ascii="Minion Pro" w:hAnsi="Minion Pro" w:cs="Times New Roman"/>
                <w:sz w:val="20"/>
              </w:rPr>
              <w:t xml:space="preserve"> 7β-Hydroxylase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F6675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bCs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ACTCAGGATTAGCGTCTAG</w:t>
            </w:r>
            <w:proofErr w:type="gramEnd"/>
          </w:p>
          <w:p w14:paraId="7BAA45EE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bCs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hAnsi="Minion Pro" w:cs="Times New Roman" w:hint="eastAsia"/>
                <w:sz w:val="20"/>
              </w:rPr>
              <w:t>TTTGTGAAGTGGTGGTGT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9BAD7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KI387_028597</w:t>
            </w:r>
          </w:p>
        </w:tc>
      </w:tr>
      <w:tr w:rsidR="007F0645" w:rsidRPr="008707C4" w14:paraId="46081CDE" w14:textId="77777777" w:rsidTr="008707C4"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614DA8D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i/>
                <w:iCs/>
                <w:sz w:val="20"/>
              </w:rPr>
            </w:pPr>
            <w:r w:rsidRPr="008707C4">
              <w:rPr>
                <w:rFonts w:ascii="Minion Pro" w:hAnsi="Minion Pro" w:cs="Times New Roman" w:hint="eastAsia"/>
                <w:i/>
                <w:iCs/>
                <w:sz w:val="20"/>
              </w:rPr>
              <w:t>18S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1143D6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18S rRNA</w:t>
            </w:r>
          </w:p>
        </w:tc>
        <w:tc>
          <w:tcPr>
            <w:tcW w:w="37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664692C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F:</w:t>
            </w:r>
            <w:r w:rsidRPr="008707C4">
              <w:rPr>
                <w:rFonts w:ascii="Minion Pro" w:hAnsi="Minion Pro" w:cs="Times New Roman" w:hint="eastAsia"/>
                <w:sz w:val="20"/>
              </w:rPr>
              <w:t>CCGCGGTAATTCCAGCTCCAA</w:t>
            </w:r>
            <w:proofErr w:type="gramEnd"/>
          </w:p>
          <w:p w14:paraId="75237D58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bCs/>
                <w:sz w:val="20"/>
              </w:rPr>
            </w:pPr>
            <w:proofErr w:type="gramStart"/>
            <w:r w:rsidRPr="008707C4">
              <w:rPr>
                <w:rFonts w:ascii="Minion Pro" w:hAnsi="Minion Pro" w:cs="Times New Roman" w:hint="eastAsia"/>
                <w:b/>
                <w:bCs/>
                <w:sz w:val="20"/>
              </w:rPr>
              <w:t>R:</w:t>
            </w:r>
            <w:r w:rsidRPr="008707C4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1"/>
              </w:rPr>
              <w:t>GAGGGCCAGTGCACACCGAGTA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D8C9A4B" w14:textId="77777777" w:rsidR="007F0645" w:rsidRPr="008707C4" w:rsidRDefault="00000000" w:rsidP="008707C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20"/>
              </w:rPr>
            </w:pPr>
            <w:r w:rsidRPr="008707C4">
              <w:rPr>
                <w:rFonts w:ascii="Minion Pro" w:hAnsi="Minion Pro" w:cs="Times New Roman"/>
                <w:sz w:val="20"/>
              </w:rPr>
              <w:t>Internal Reference gene</w:t>
            </w:r>
          </w:p>
        </w:tc>
      </w:tr>
    </w:tbl>
    <w:p w14:paraId="5C3E9A53" w14:textId="77777777" w:rsidR="008707C4" w:rsidRDefault="008707C4">
      <w:pPr>
        <w:rPr>
          <w:rFonts w:ascii="Times New Roman" w:hAnsi="Times New Roman" w:cs="Times New Roman"/>
          <w:sz w:val="22"/>
          <w:szCs w:val="22"/>
        </w:rPr>
      </w:pPr>
    </w:p>
    <w:sectPr w:rsidR="00870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4E62E" w14:textId="77777777" w:rsidR="003C001E" w:rsidRDefault="003C001E" w:rsidP="008707C4">
      <w:r>
        <w:separator/>
      </w:r>
    </w:p>
  </w:endnote>
  <w:endnote w:type="continuationSeparator" w:id="0">
    <w:p w14:paraId="7B3C6785" w14:textId="77777777" w:rsidR="003C001E" w:rsidRDefault="003C001E" w:rsidP="0087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Helvetica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1C7AF" w14:textId="77777777" w:rsidR="003C001E" w:rsidRDefault="003C001E" w:rsidP="008707C4">
      <w:r>
        <w:separator/>
      </w:r>
    </w:p>
  </w:footnote>
  <w:footnote w:type="continuationSeparator" w:id="0">
    <w:p w14:paraId="1DFB43C9" w14:textId="77777777" w:rsidR="003C001E" w:rsidRDefault="003C001E" w:rsidP="00870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M3Y2E2OGJkYTA2ZjQyODZiNjk2ZDZlYjQyODliMzAifQ=="/>
  </w:docVars>
  <w:rsids>
    <w:rsidRoot w:val="31BB1DF3"/>
    <w:rsid w:val="000F750D"/>
    <w:rsid w:val="00100B16"/>
    <w:rsid w:val="00122938"/>
    <w:rsid w:val="001262C5"/>
    <w:rsid w:val="00133782"/>
    <w:rsid w:val="0027056C"/>
    <w:rsid w:val="00272337"/>
    <w:rsid w:val="002A5F8E"/>
    <w:rsid w:val="00365A6E"/>
    <w:rsid w:val="003C001E"/>
    <w:rsid w:val="00421C34"/>
    <w:rsid w:val="00447022"/>
    <w:rsid w:val="00474BF7"/>
    <w:rsid w:val="00626516"/>
    <w:rsid w:val="00643872"/>
    <w:rsid w:val="00674B3A"/>
    <w:rsid w:val="006A77E7"/>
    <w:rsid w:val="006C5647"/>
    <w:rsid w:val="007F0645"/>
    <w:rsid w:val="007F14FF"/>
    <w:rsid w:val="007F79FA"/>
    <w:rsid w:val="008707C4"/>
    <w:rsid w:val="008821F5"/>
    <w:rsid w:val="008851CE"/>
    <w:rsid w:val="00930BB4"/>
    <w:rsid w:val="00957805"/>
    <w:rsid w:val="0098734E"/>
    <w:rsid w:val="009A1913"/>
    <w:rsid w:val="00BC1364"/>
    <w:rsid w:val="00BD4C27"/>
    <w:rsid w:val="00BF5F23"/>
    <w:rsid w:val="00C32FB6"/>
    <w:rsid w:val="00DC5711"/>
    <w:rsid w:val="00E04545"/>
    <w:rsid w:val="00EE0C24"/>
    <w:rsid w:val="00F12C89"/>
    <w:rsid w:val="00F705B3"/>
    <w:rsid w:val="01BB7833"/>
    <w:rsid w:val="01EC20E2"/>
    <w:rsid w:val="03744E73"/>
    <w:rsid w:val="03D90444"/>
    <w:rsid w:val="04730898"/>
    <w:rsid w:val="06882EAA"/>
    <w:rsid w:val="08D1180B"/>
    <w:rsid w:val="09E87633"/>
    <w:rsid w:val="0F943740"/>
    <w:rsid w:val="0FB029A1"/>
    <w:rsid w:val="10286013"/>
    <w:rsid w:val="10C761F4"/>
    <w:rsid w:val="12887C05"/>
    <w:rsid w:val="145558C5"/>
    <w:rsid w:val="146C7996"/>
    <w:rsid w:val="198D5B01"/>
    <w:rsid w:val="1B505169"/>
    <w:rsid w:val="1BCC7B02"/>
    <w:rsid w:val="1C817B9F"/>
    <w:rsid w:val="1CC140D8"/>
    <w:rsid w:val="1CDC18D6"/>
    <w:rsid w:val="1D43117C"/>
    <w:rsid w:val="1FF42436"/>
    <w:rsid w:val="231B23CF"/>
    <w:rsid w:val="23FE68CB"/>
    <w:rsid w:val="25981CD4"/>
    <w:rsid w:val="265D5011"/>
    <w:rsid w:val="2A110088"/>
    <w:rsid w:val="2CA6327B"/>
    <w:rsid w:val="2F1B1C13"/>
    <w:rsid w:val="2F9E416C"/>
    <w:rsid w:val="30F009F7"/>
    <w:rsid w:val="311E7CAF"/>
    <w:rsid w:val="31BB1DF3"/>
    <w:rsid w:val="36447758"/>
    <w:rsid w:val="37BB2C6F"/>
    <w:rsid w:val="38D22A33"/>
    <w:rsid w:val="3ABF15C1"/>
    <w:rsid w:val="3C355E58"/>
    <w:rsid w:val="3D153E5D"/>
    <w:rsid w:val="3DA52B6A"/>
    <w:rsid w:val="3E043E29"/>
    <w:rsid w:val="3E523740"/>
    <w:rsid w:val="40437F8B"/>
    <w:rsid w:val="40D0614F"/>
    <w:rsid w:val="42ED1CBA"/>
    <w:rsid w:val="454635B3"/>
    <w:rsid w:val="45D40490"/>
    <w:rsid w:val="4A3E05CE"/>
    <w:rsid w:val="4B5D4A84"/>
    <w:rsid w:val="4D4201A6"/>
    <w:rsid w:val="4EFA0F67"/>
    <w:rsid w:val="4F7C4EB4"/>
    <w:rsid w:val="50F97200"/>
    <w:rsid w:val="56D77DE0"/>
    <w:rsid w:val="56F75D8C"/>
    <w:rsid w:val="57877D5E"/>
    <w:rsid w:val="58B05066"/>
    <w:rsid w:val="5E33643A"/>
    <w:rsid w:val="627143A9"/>
    <w:rsid w:val="63FC0596"/>
    <w:rsid w:val="64DE19BE"/>
    <w:rsid w:val="650F11A4"/>
    <w:rsid w:val="659A2704"/>
    <w:rsid w:val="66344907"/>
    <w:rsid w:val="6659456D"/>
    <w:rsid w:val="668D04BB"/>
    <w:rsid w:val="69006D22"/>
    <w:rsid w:val="6DA77DB7"/>
    <w:rsid w:val="6E5813AF"/>
    <w:rsid w:val="6EED1AF7"/>
    <w:rsid w:val="70D52D39"/>
    <w:rsid w:val="73B16471"/>
    <w:rsid w:val="74DA2B1D"/>
    <w:rsid w:val="74EF65B0"/>
    <w:rsid w:val="75E853F6"/>
    <w:rsid w:val="7645283B"/>
    <w:rsid w:val="76A553AD"/>
    <w:rsid w:val="77570044"/>
    <w:rsid w:val="7D396FF7"/>
    <w:rsid w:val="7E3D5ECB"/>
    <w:rsid w:val="7ED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E09410"/>
  <w15:docId w15:val="{ECB3C845-0D23-4914-84EC-77549470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嘻嘻嘻</dc:creator>
  <cp:lastModifiedBy>Tech Science Press</cp:lastModifiedBy>
  <cp:revision>27</cp:revision>
  <dcterms:created xsi:type="dcterms:W3CDTF">2024-08-26T07:53:00Z</dcterms:created>
  <dcterms:modified xsi:type="dcterms:W3CDTF">2025-03-24T03:33:00Z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BE7680F478554EF8AB6741FD7F5E7BC3_13</vt:lpwstr>
  </property>
  <property fmtid="{D5CDD505-2E9C-101B-9397-08002B2CF9AE}" pid="4" name="KSOTemplateDocerSaveRecord">
    <vt:lpwstr>eyJoZGlkIjoiNDM3Y2E2OGJkYTA2ZjQyODZiNjk2ZDZlYjQyODliMzAiLCJ1c2VySWQiOiIzMjgwMzYzMTgifQ==</vt:lpwstr>
  </property>
</Properties>
</file>